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4FF6" w14:textId="77777777" w:rsidR="00304677" w:rsidRDefault="00873BA1">
      <w:r>
        <w:rPr>
          <w:noProof/>
        </w:rPr>
        <w:drawing>
          <wp:inline distT="0" distB="0" distL="0" distR="0" wp14:anchorId="039DBEEB" wp14:editId="55B1F7D0">
            <wp:extent cx="3464560" cy="685800"/>
            <wp:effectExtent l="0" t="0" r="2540" b="0"/>
            <wp:docPr id="2" name="Picture 2" descr="http://jmhweb.hsys.local:7777/portal/page/portal/jmmdhs/images/jmh_logo_hor_p1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jmhweb.hsys.local:7777/portal/page/portal/jmmdhs/images/jmh_logo_hor_p1_rgb.pn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6B08" w14:textId="77777777" w:rsidR="00873BA1" w:rsidRDefault="00873BA1"/>
    <w:p w14:paraId="44E6E381" w14:textId="77777777" w:rsidR="00873BA1" w:rsidRDefault="00873BA1">
      <w:pPr>
        <w:rPr>
          <w:sz w:val="32"/>
          <w:szCs w:val="32"/>
        </w:rPr>
      </w:pPr>
      <w:r w:rsidRPr="00873BA1">
        <w:rPr>
          <w:sz w:val="32"/>
          <w:szCs w:val="32"/>
        </w:rPr>
        <w:t>ADMINISTRATIVE AUTHORIZATION PROCESS</w:t>
      </w:r>
    </w:p>
    <w:p w14:paraId="68B29E48" w14:textId="77777777" w:rsidR="00873BA1" w:rsidRDefault="00873BA1">
      <w:pPr>
        <w:rPr>
          <w:sz w:val="32"/>
          <w:szCs w:val="32"/>
        </w:rPr>
      </w:pPr>
    </w:p>
    <w:p w14:paraId="276F28DE" w14:textId="77777777" w:rsidR="00873BA1" w:rsidRDefault="00873BA1">
      <w:pPr>
        <w:rPr>
          <w:sz w:val="24"/>
          <w:szCs w:val="24"/>
        </w:rPr>
      </w:pPr>
      <w:r>
        <w:rPr>
          <w:sz w:val="24"/>
          <w:szCs w:val="24"/>
        </w:rPr>
        <w:t>The Administrative Authorization Process will be used by physicians to obtain payment from the patient’s health plan for services for which John Muir Physician Network does not require prior authorization</w:t>
      </w:r>
      <w:r w:rsidR="00126791">
        <w:rPr>
          <w:sz w:val="24"/>
          <w:szCs w:val="24"/>
        </w:rPr>
        <w:t xml:space="preserve">. </w:t>
      </w:r>
      <w:r w:rsidR="00126791" w:rsidRPr="00126791">
        <w:rPr>
          <w:sz w:val="24"/>
          <w:szCs w:val="24"/>
        </w:rPr>
        <w:t>Examples of the types of services where this may be used</w:t>
      </w:r>
      <w:r>
        <w:rPr>
          <w:sz w:val="24"/>
          <w:szCs w:val="24"/>
        </w:rPr>
        <w:t xml:space="preserve"> include in</w:t>
      </w:r>
      <w:r w:rsidR="00126791">
        <w:rPr>
          <w:sz w:val="24"/>
          <w:szCs w:val="24"/>
        </w:rPr>
        <w:t>-</w:t>
      </w:r>
      <w:r>
        <w:rPr>
          <w:sz w:val="24"/>
          <w:szCs w:val="24"/>
        </w:rPr>
        <w:t>office injectable medications or in</w:t>
      </w:r>
      <w:r w:rsidR="00126791">
        <w:rPr>
          <w:sz w:val="24"/>
          <w:szCs w:val="24"/>
        </w:rPr>
        <w:t>-</w:t>
      </w:r>
      <w:r>
        <w:rPr>
          <w:sz w:val="24"/>
          <w:szCs w:val="24"/>
        </w:rPr>
        <w:t xml:space="preserve">office infused medications. </w:t>
      </w:r>
    </w:p>
    <w:p w14:paraId="6E7F9806" w14:textId="77777777" w:rsidR="00873BA1" w:rsidRDefault="00873BA1">
      <w:pPr>
        <w:rPr>
          <w:sz w:val="24"/>
          <w:szCs w:val="24"/>
        </w:rPr>
      </w:pPr>
      <w:r>
        <w:rPr>
          <w:sz w:val="24"/>
          <w:szCs w:val="24"/>
        </w:rPr>
        <w:t xml:space="preserve">The health plan authorization code below should be added to the physician’s claim form. </w:t>
      </w:r>
    </w:p>
    <w:tbl>
      <w:tblPr>
        <w:tblStyle w:val="TableGrid"/>
        <w:tblW w:w="0" w:type="auto"/>
        <w:tblInd w:w="855" w:type="dxa"/>
        <w:tblLayout w:type="fixed"/>
        <w:tblLook w:val="04A0" w:firstRow="1" w:lastRow="0" w:firstColumn="1" w:lastColumn="0" w:noHBand="0" w:noVBand="1"/>
      </w:tblPr>
      <w:tblGrid>
        <w:gridCol w:w="2806"/>
        <w:gridCol w:w="4429"/>
      </w:tblGrid>
      <w:tr w:rsidR="00873BA1" w14:paraId="513E8CC7" w14:textId="77777777" w:rsidTr="00873BA1">
        <w:trPr>
          <w:trHeight w:val="296"/>
        </w:trPr>
        <w:tc>
          <w:tcPr>
            <w:tcW w:w="2806" w:type="dxa"/>
            <w:shd w:val="clear" w:color="auto" w:fill="D9E2F3" w:themeFill="accent5" w:themeFillTint="33"/>
          </w:tcPr>
          <w:p w14:paraId="2FF8140B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PLAN</w:t>
            </w:r>
          </w:p>
        </w:tc>
        <w:tc>
          <w:tcPr>
            <w:tcW w:w="4429" w:type="dxa"/>
            <w:shd w:val="clear" w:color="auto" w:fill="D9E2F3" w:themeFill="accent5" w:themeFillTint="33"/>
          </w:tcPr>
          <w:p w14:paraId="5B25B932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ADMINISTRATIVE AUTHORIZATION CODE</w:t>
            </w:r>
          </w:p>
        </w:tc>
      </w:tr>
      <w:tr w:rsidR="00873BA1" w14:paraId="047CD404" w14:textId="77777777" w:rsidTr="00873BA1">
        <w:trPr>
          <w:trHeight w:val="306"/>
        </w:trPr>
        <w:tc>
          <w:tcPr>
            <w:tcW w:w="2806" w:type="dxa"/>
          </w:tcPr>
          <w:p w14:paraId="67AB916C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AETNA</w:t>
            </w:r>
          </w:p>
        </w:tc>
        <w:tc>
          <w:tcPr>
            <w:tcW w:w="4429" w:type="dxa"/>
          </w:tcPr>
          <w:p w14:paraId="3BF6C1FD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AET0020+patient’s birth date</w:t>
            </w:r>
          </w:p>
        </w:tc>
      </w:tr>
      <w:tr w:rsidR="00873BA1" w14:paraId="09C65CE2" w14:textId="77777777" w:rsidTr="00873BA1">
        <w:trPr>
          <w:trHeight w:val="296"/>
        </w:trPr>
        <w:tc>
          <w:tcPr>
            <w:tcW w:w="2806" w:type="dxa"/>
          </w:tcPr>
          <w:p w14:paraId="43DE4D68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ANTHEM BLUE CROSS</w:t>
            </w:r>
          </w:p>
        </w:tc>
        <w:tc>
          <w:tcPr>
            <w:tcW w:w="4429" w:type="dxa"/>
          </w:tcPr>
          <w:p w14:paraId="424C7236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BC0010 +patient’s birth date</w:t>
            </w:r>
          </w:p>
        </w:tc>
      </w:tr>
      <w:tr w:rsidR="00873BA1" w14:paraId="1A9960BE" w14:textId="77777777" w:rsidTr="00873BA1">
        <w:trPr>
          <w:trHeight w:val="296"/>
        </w:trPr>
        <w:tc>
          <w:tcPr>
            <w:tcW w:w="2806" w:type="dxa"/>
          </w:tcPr>
          <w:p w14:paraId="19E606B9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SHIELD</w:t>
            </w:r>
          </w:p>
        </w:tc>
        <w:tc>
          <w:tcPr>
            <w:tcW w:w="4429" w:type="dxa"/>
          </w:tcPr>
          <w:p w14:paraId="289C98A9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BS0060 +patient’s birth date</w:t>
            </w:r>
          </w:p>
        </w:tc>
      </w:tr>
      <w:tr w:rsidR="00873BA1" w14:paraId="2CD4499C" w14:textId="77777777" w:rsidTr="00873BA1">
        <w:trPr>
          <w:trHeight w:val="296"/>
        </w:trPr>
        <w:tc>
          <w:tcPr>
            <w:tcW w:w="2806" w:type="dxa"/>
          </w:tcPr>
          <w:p w14:paraId="0921083B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CANOPY HEALTH</w:t>
            </w:r>
          </w:p>
        </w:tc>
        <w:tc>
          <w:tcPr>
            <w:tcW w:w="4429" w:type="dxa"/>
          </w:tcPr>
          <w:p w14:paraId="5345838B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CH0090 + patient’s birth date</w:t>
            </w:r>
          </w:p>
        </w:tc>
      </w:tr>
      <w:tr w:rsidR="00873BA1" w14:paraId="765DA1D6" w14:textId="77777777" w:rsidTr="00873BA1">
        <w:trPr>
          <w:trHeight w:val="296"/>
        </w:trPr>
        <w:tc>
          <w:tcPr>
            <w:tcW w:w="2806" w:type="dxa"/>
          </w:tcPr>
          <w:p w14:paraId="67189E8A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CIGNA</w:t>
            </w:r>
          </w:p>
        </w:tc>
        <w:tc>
          <w:tcPr>
            <w:tcW w:w="4429" w:type="dxa"/>
          </w:tcPr>
          <w:p w14:paraId="36870F2A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CIG0080 +patient’s birth date</w:t>
            </w:r>
          </w:p>
        </w:tc>
      </w:tr>
      <w:tr w:rsidR="00873BA1" w14:paraId="202CCFC8" w14:textId="77777777" w:rsidTr="00873BA1">
        <w:trPr>
          <w:trHeight w:val="296"/>
        </w:trPr>
        <w:tc>
          <w:tcPr>
            <w:tcW w:w="2806" w:type="dxa"/>
          </w:tcPr>
          <w:p w14:paraId="303CF38B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NET</w:t>
            </w:r>
          </w:p>
        </w:tc>
        <w:tc>
          <w:tcPr>
            <w:tcW w:w="4429" w:type="dxa"/>
          </w:tcPr>
          <w:p w14:paraId="2D57E65A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HN0050 +patient’s birth date</w:t>
            </w:r>
          </w:p>
        </w:tc>
      </w:tr>
      <w:tr w:rsidR="00873BA1" w14:paraId="40F0F21C" w14:textId="77777777" w:rsidTr="00873BA1">
        <w:trPr>
          <w:trHeight w:val="306"/>
        </w:trPr>
        <w:tc>
          <w:tcPr>
            <w:tcW w:w="2806" w:type="dxa"/>
          </w:tcPr>
          <w:p w14:paraId="722BF143" w14:textId="77777777" w:rsidR="00873BA1" w:rsidRDefault="00873BA1" w:rsidP="00873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HEALTH CARE</w:t>
            </w:r>
          </w:p>
        </w:tc>
        <w:tc>
          <w:tcPr>
            <w:tcW w:w="4429" w:type="dxa"/>
          </w:tcPr>
          <w:p w14:paraId="1AD38DBB" w14:textId="77777777" w:rsidR="00873BA1" w:rsidRDefault="00873BA1" w:rsidP="00873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UHC0070 +patient’s birth date</w:t>
            </w:r>
          </w:p>
        </w:tc>
      </w:tr>
    </w:tbl>
    <w:p w14:paraId="7684F855" w14:textId="77777777" w:rsidR="00873BA1" w:rsidRDefault="00873BA1">
      <w:pPr>
        <w:rPr>
          <w:sz w:val="24"/>
          <w:szCs w:val="24"/>
        </w:rPr>
      </w:pPr>
    </w:p>
    <w:p w14:paraId="6637BEC0" w14:textId="77777777" w:rsidR="00873BA1" w:rsidRPr="00873BA1" w:rsidRDefault="00873BA1">
      <w:pPr>
        <w:rPr>
          <w:sz w:val="24"/>
          <w:szCs w:val="24"/>
        </w:rPr>
      </w:pPr>
      <w:r>
        <w:rPr>
          <w:sz w:val="24"/>
          <w:szCs w:val="24"/>
        </w:rPr>
        <w:t xml:space="preserve">If the health plan rejects or denies the claim and requests a hard copy of the authorization prior to payment then the physician should contact Barbara Reagan at 925-941-2661 to request an administrative authorization form. </w:t>
      </w:r>
      <w:r w:rsidR="00126791">
        <w:rPr>
          <w:sz w:val="24"/>
          <w:szCs w:val="24"/>
        </w:rPr>
        <w:t>The form will be completed and signed by the physician.</w:t>
      </w:r>
    </w:p>
    <w:sectPr w:rsidR="00873BA1" w:rsidRPr="0087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A1"/>
    <w:rsid w:val="00126791"/>
    <w:rsid w:val="002461C8"/>
    <w:rsid w:val="00304677"/>
    <w:rsid w:val="003E1AFF"/>
    <w:rsid w:val="00627CC0"/>
    <w:rsid w:val="0087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7C3F"/>
  <w15:chartTrackingRefBased/>
  <w15:docId w15:val="{F5F809BC-E2E5-4107-A4AA-E26B7F37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6EE2.96154B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Muir Health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Haydee Acosta</cp:lastModifiedBy>
  <cp:revision>2</cp:revision>
  <cp:lastPrinted>2022-09-20T22:19:00Z</cp:lastPrinted>
  <dcterms:created xsi:type="dcterms:W3CDTF">2025-12-31T00:07:00Z</dcterms:created>
  <dcterms:modified xsi:type="dcterms:W3CDTF">2025-12-31T00:07:00Z</dcterms:modified>
</cp:coreProperties>
</file>